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ind w:firstLine="560" w:firstLineChars="200"/>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明月-YC2024-011 　　　　　</w:t>
      </w:r>
    </w:p>
    <w:p w14:paraId="391798BE">
      <w:pPr>
        <w:ind w:firstLine="560" w:firstLineChars="200"/>
        <w:rPr>
          <w:rFonts w:hint="default" w:ascii="仿宋" w:hAnsi="仿宋" w:eastAsia="仿宋"/>
          <w:sz w:val="28"/>
          <w:szCs w:val="28"/>
          <w:u w:val="single"/>
          <w:lang w:val="en-US" w:eastAsia="zh-CN"/>
        </w:rPr>
      </w:pPr>
      <w:r>
        <w:rPr>
          <w:rFonts w:hint="eastAsia" w:ascii="黑体" w:hAnsi="黑体" w:eastAsia="黑体"/>
          <w:sz w:val="28"/>
          <w:szCs w:val="28"/>
        </w:rPr>
        <w:t>二、项目名称：</w:t>
      </w:r>
      <w:r>
        <w:rPr>
          <w:rFonts w:hint="eastAsia" w:ascii="仿宋" w:hAnsi="仿宋" w:eastAsia="仿宋"/>
          <w:sz w:val="28"/>
          <w:szCs w:val="28"/>
          <w:u w:val="single"/>
        </w:rPr>
        <w:t>　　宜春市检验检测中心三重四极杆气相色谱质谱联用仪等设备采购项目</w:t>
      </w:r>
      <w:r>
        <w:rPr>
          <w:rFonts w:hint="eastAsia" w:ascii="仿宋" w:hAnsi="仿宋" w:eastAsia="仿宋"/>
          <w:sz w:val="28"/>
          <w:szCs w:val="28"/>
          <w:u w:val="single"/>
          <w:lang w:val="en-US" w:eastAsia="zh-CN"/>
        </w:rPr>
        <w:t xml:space="preserve">    </w:t>
      </w:r>
    </w:p>
    <w:p w14:paraId="4D24E88D">
      <w:pPr>
        <w:ind w:firstLine="560" w:firstLineChars="200"/>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xml:space="preserve">上海亦玄生物科技有限公司 </w:t>
      </w:r>
      <w:r>
        <w:rPr>
          <w:rFonts w:hint="eastAsia" w:ascii="仿宋" w:hAnsi="仿宋" w:eastAsia="仿宋"/>
          <w:sz w:val="28"/>
          <w:szCs w:val="28"/>
          <w:u w:val="single"/>
          <w:lang w:val="en-US" w:eastAsia="zh-CN"/>
        </w:rPr>
        <w:t xml:space="preserve"> </w:t>
      </w:r>
    </w:p>
    <w:p w14:paraId="5A3204B1">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上海市奉贤区南奉公路8589号1幢644室</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宜春市检验检测中心</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宜春市袁州区环城西路369号 　</w:t>
      </w:r>
      <w:r>
        <w:rPr>
          <w:rFonts w:hint="eastAsia" w:ascii="仿宋" w:hAnsi="仿宋" w:eastAsia="仿宋"/>
          <w:sz w:val="28"/>
          <w:szCs w:val="28"/>
          <w:u w:val="single"/>
          <w:lang w:val="en-US" w:eastAsia="zh-CN"/>
        </w:rPr>
        <w:t xml:space="preserve"> </w:t>
      </w:r>
    </w:p>
    <w:p w14:paraId="79F5105C">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宜春明月招标咨询有限公司</w:t>
      </w:r>
    </w:p>
    <w:p w14:paraId="2284A506">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宜春市明月北路1188号九玺广场905、907室 </w:t>
      </w:r>
    </w:p>
    <w:p w14:paraId="1880F84F">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当事人3：  江西沃嵘科技有限公司</w:t>
      </w:r>
      <w:r>
        <w:rPr>
          <w:rFonts w:hint="eastAsia" w:ascii="仿宋" w:hAnsi="仿宋" w:eastAsia="仿宋"/>
          <w:sz w:val="28"/>
          <w:szCs w:val="28"/>
          <w:u w:val="single"/>
          <w:lang w:val="en-US" w:eastAsia="zh-CN"/>
        </w:rPr>
        <w:t xml:space="preserve"> （中标人）   </w:t>
      </w:r>
      <w:r>
        <w:rPr>
          <w:rFonts w:hint="default" w:ascii="仿宋" w:hAnsi="仿宋" w:eastAsia="仿宋"/>
          <w:sz w:val="28"/>
          <w:szCs w:val="28"/>
          <w:u w:val="single"/>
          <w:lang w:val="en-US" w:eastAsia="zh-CN"/>
        </w:rPr>
        <w:t xml:space="preserve"> </w:t>
      </w:r>
    </w:p>
    <w:p w14:paraId="4D5CD6B8">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 xml:space="preserve">地 址：江西省南昌市南昌县莲塘镇澄湖东路2999号恒大翡翠珑庭住宅区2栋2单元1603室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1BE2AC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投诉人因对被投诉人质疑答复不满意，于2024年8月19日向本机关提起投诉。本机关审查后依法受理，现已审查结束。</w:t>
      </w:r>
    </w:p>
    <w:p w14:paraId="507305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该项目于2024年7月4日在江西省公共资源交易网发布采购公告，7月26日在江西省公共资源交易网发布中标公告，8月5日签订合同，8月6日公示合同。</w:t>
      </w:r>
    </w:p>
    <w:p w14:paraId="21BCAE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投诉事项1：代理机构没有告知质疑供应商依法投诉的权利。</w:t>
      </w:r>
    </w:p>
    <w:p w14:paraId="05D87A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事实依据：代理机构出具的回复函没有告知质疑供应商其具有依法投诉的权利。</w:t>
      </w:r>
    </w:p>
    <w:p w14:paraId="29A16C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投诉事项2：采购人和代理机构对质疑事项的回复简单敷衍，未提供明确的事实依据。</w:t>
      </w:r>
    </w:p>
    <w:p w14:paraId="15F46F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w:t>
      </w:r>
    </w:p>
    <w:p w14:paraId="7FFAF3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代理机构出具的回复函表达了三点意思：1.采购人经过市场调研，咨询了安捷伦、岛津、赛默飞、苏州安益谱、杭州谱育、上海通微、沃特斯等具有代表性的品牌以及其他品牌，最终制定了招标文件的技术参数要求；2.我司提供的证据只能说明岛津公司的产品满足技术参数要求，不能证明其他公司的产品不满足技术参数要求，采购人认为有其他公司的产品满足技术参数要求；3.该项目为公开招标，核心产品的基础技术参数要求如果具有唯一性，开标时参与的投标供应商会少于三家，做废标处理。对此，我司认为：1.代理机构要求我司证明其他公司的产品不满足技术参数要求，实质是要求我司列举出市场上满足国产要求的所有品牌的三重四极杆气相色谱质谱联用仪和超高效液相色谱仪的技术参数，这种要求明显不合理。事实上，采购人完全可以根据自己的调研结果，出具证据证明有不少于三家公司的产品满足技术参数要求；2.采购人既然咨询过业内具有代表性的品牌以及其他品牌，那么招标文件里出现大量技术参数直接使用岛津公司的宣传术语、专利和特有说法，甚至直接援引岛津公司产品的技术参数原文的现象就明显不合理，我司在质疑事项中详细列举了此类现象，代理机构并没有给予解释。3.开标时评标专家是无法鉴别投标供应商所提供材料真假的，我司恳请财政部门向投标供应商所投的非岛津公司的三重四极杆气相色谱质谱联用仪和超高效液相色谱仪厂家函询是否满足技术参数要求，同时对投标供应商提供的制造商盖章文件交由司法鉴定机构鉴定制造商公章真伪，我司愿意承担鉴定费用。</w:t>
      </w:r>
    </w:p>
    <w:p w14:paraId="0EA4FF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请求：请求财政部门通知采购人和代理机构暂停此次采购活动，重新论证招标方案。同时，请求财政部门向投标供应商所投的非岛津公司的三重四极杆气相色谱质谱联用仪和超高效液相色谱仪厂家函询是否满足技术参数要求，对投标供应商提供的制造商盖章文件交由司法鉴定机构鉴定制造商公章真伪，我司愿意承担鉴定费用。</w:t>
      </w:r>
    </w:p>
    <w:p w14:paraId="571437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被投诉人1、被投诉人2称：</w:t>
      </w:r>
    </w:p>
    <w:p w14:paraId="3E8DC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该项目质疑函于7月18日由一位男士用宜春的手机号（并非质疑函中的137****3803号码）打电话给我公司同事刘*157****2312称其送质疑函过来，当时我同事问询对方是否为此公司被授权委托人，其回复“我只是帮忙送材料的，其它事情不知道”。我公司于7月23日将质疑回复函邮寄至上海市奉贤区南奉公路8589号1幢644室，潘*仪137****3803收，期间接到另一个电话质问我同事“为何没有回复”，我同事告知其回复函已经邮寄至质疑函上所留的公司地址，并电话告知“收到回复函后，对回复内容不满意的话可向采购监管科进行投诉，地址为宜阳大厦中座623室。”该快递于7月24日被拦截，并转寄至宜春经开区（详见附件1）。</w:t>
      </w:r>
    </w:p>
    <w:p w14:paraId="24738A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2.由于该公司提供的质疑内容均为针对技术参数具有唯一性的质疑，而关于所质疑技术参数是否为唯一性，在制作招标参数要求的过程中，我检测中心前期已经做过大量且充分的市场调研工作：</w:t>
      </w:r>
    </w:p>
    <w:p w14:paraId="50A138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（1）针对项目技术要求制定了三个方案，并组织使用部门及招标小组开会讨论（详见附件2）；</w:t>
      </w:r>
    </w:p>
    <w:p w14:paraId="6EF624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（2）还参考了江西省质检系统其它地级市检测中心采购同类设备标书制定的招标方案（详见附件3）；</w:t>
      </w:r>
    </w:p>
    <w:p w14:paraId="660D89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（3）查阅以往同类项目及百度文献（附件4）。</w:t>
      </w:r>
    </w:p>
    <w:p w14:paraId="546A62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技术参数属于此类设备通用型技术参数，每条被质疑的参数，至少有三个及以上产品能满足（详见附件4）。根据《政府采购质疑和投诉办法》第94号令第十五条，质疑答复的内容不得涉及商业秘密。故未将市场了解到的各满足该技术要求的产品告知该公司。</w:t>
      </w:r>
    </w:p>
    <w:p w14:paraId="3D6567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该项目于7月25日进行开标会议，共有三家公司参与投标，经专家评审，三家公司均提供了满足该要求的技术参数确认函。（详见附件）。</w:t>
      </w:r>
    </w:p>
    <w:p w14:paraId="7DC100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关于该公司提出的针对投标文件所提供的材料进行司法鉴定的诉求，由于该内容在质疑函中未提出，具体以采购监管科处理意见为主。根据《政府采购质疑和投诉办法》第94号令第十九条投诉人提起投诉应当符合下列条件：（一）提起投诉前已依法进行质疑；第二十条供应商投诉的事项不得超出已质疑事项的范围，但基于质疑答复内容提出的投诉事项除外。</w:t>
      </w:r>
    </w:p>
    <w:p w14:paraId="2C5947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中标供应商称：首先明确一点，相关投诉和质疑并没有针对我司的投诉和质疑。</w:t>
      </w:r>
    </w:p>
    <w:p w14:paraId="1E07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我司是经过正常政府采购公开招标流程，经过专家评审中标，公示期满和甲方签订相关合同，完全合法合规。期间甲方也有催货期。目前货物都快到了，被甲方暂时喊停。导致甲方急需设备，我们又无法交付的窘境。由此，相关质疑和投诉确确实实给我方带来不小的损失和影响。</w:t>
      </w:r>
    </w:p>
    <w:p w14:paraId="252A8A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再次，对方质疑和投诉相关内容缺乏依据，主观臆断。并没有提供据实有效的证据，假使自己生产或者代理的产品不满足就质疑、投诉是有排他性，显然，这是站不住脚的，他并不代表大多数厂家，他只能代表他自己。</w:t>
      </w:r>
    </w:p>
    <w:p w14:paraId="43CD39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最后，我方完全理解相关单位尊重相关利益方的质疑、投诉的权力。我方也恳请相关单位重视和保护我方合法权益，不能因为保护别人的权力而损害我方的合法权益。</w:t>
      </w:r>
    </w:p>
    <w:p w14:paraId="3E152F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3B442C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核查代理机构的书面质疑答复函，代理机构并没有在质疑答复函中告知投诉人可依法投诉的权利，违反了《政府采购质疑和投诉办法》（财政部令第94号）第十五条的规定“质疑答复应当包括下列内容：（四）告知质疑供应商依法投诉的权利”。投诉事项成立，但不影响采购结果。</w:t>
      </w:r>
    </w:p>
    <w:p w14:paraId="6507C7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2.投诉事项二并未具体明确，根据《政府采购质疑和投诉办法》（财政部令第94号）第十九条的规定：“投诉人提起投诉应当符合下列条件：（一）提起投诉前已依法进行质疑”，投诉事项不得超出质疑范围。 </w:t>
      </w:r>
    </w:p>
    <w:p w14:paraId="4C1F5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现仅针对投诉人的已质疑过的事项进行处理，即关于“招标文件的设置具有唯一性、指向性”的问题。</w:t>
      </w:r>
    </w:p>
    <w:p w14:paraId="36341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36项质疑包含了对采购需求以及评审因素设置，经核查，代理机构在进行招标前已开会讨论、参考同类设备标书制定的招标方案、查阅以往同类项目及文献，进行最终采购文件的确定，符合《政府采购货物和服务招标投标管理办法》（财政部令第87号）第十条规定的“采购人应当对采购标的的市场技术或者服务水平、供应、价格等情况进行市场调查，根据调查情况、资产配置标准等科学、合理地确定采购需求，进行价格测算。”及第五十五条第三款规定的“评审因素应当细化和量化，且与相应的商务条件和采购需求对应”。</w:t>
      </w:r>
    </w:p>
    <w:p w14:paraId="157045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设置具有唯一性和指向性的问题，经核查参与本项目供应商的投标文件，参与投标的供应商有3家，且3家供应商响应投标项目的产品及厂家各不相同，投诉人称招标文件设置具有唯一性、指向性的问题不成立。</w:t>
      </w:r>
    </w:p>
    <w:p w14:paraId="780CF7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综上，投诉事项一成立，但不影响采购结果；投诉事项二不成立。针对本项目中代理机构的问题，本机关会另行提起监督检查。</w:t>
      </w:r>
    </w:p>
    <w:p w14:paraId="6DCC26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258EC7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1.相关当事人1</w:t>
      </w:r>
      <w:bookmarkStart w:id="2" w:name="_GoBack"/>
      <w:bookmarkEnd w:id="2"/>
      <w:r>
        <w:rPr>
          <w:rFonts w:hint="eastAsia" w:ascii="仿宋" w:hAnsi="仿宋" w:eastAsia="仿宋" w:cs="仿宋"/>
          <w:sz w:val="28"/>
          <w:szCs w:val="28"/>
          <w:lang w:val="en-US" w:eastAsia="zh-CN"/>
        </w:rPr>
        <w:t>《投诉书》</w:t>
      </w:r>
    </w:p>
    <w:p w14:paraId="514767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2.相关当事人2、相关当事人3《投诉回复说明》</w:t>
      </w:r>
    </w:p>
    <w:p w14:paraId="202DAF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3.相关当事人4《回复说明函》</w:t>
      </w:r>
    </w:p>
    <w:p w14:paraId="0A4E1B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4.本项目招标文件、评标报告书</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179D4FE6">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三十一条第一款之规定，本机关决定：投诉事项一成立，但不影响采购结果；投诉事项二不成立。针对本项目中代理机构的问题，本机关会另行提起监督检查。</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7B20E6E"/>
    <w:rsid w:val="1CC84349"/>
    <w:rsid w:val="216F57E1"/>
    <w:rsid w:val="217C6D52"/>
    <w:rsid w:val="25297DD9"/>
    <w:rsid w:val="30542E26"/>
    <w:rsid w:val="37F73E46"/>
    <w:rsid w:val="3CC94683"/>
    <w:rsid w:val="3D8569E6"/>
    <w:rsid w:val="3FC438CC"/>
    <w:rsid w:val="494A433D"/>
    <w:rsid w:val="4DC501DE"/>
    <w:rsid w:val="59750590"/>
    <w:rsid w:val="5A44567C"/>
    <w:rsid w:val="624618AF"/>
    <w:rsid w:val="6F49019A"/>
    <w:rsid w:val="6FB53E4B"/>
    <w:rsid w:val="739E555E"/>
    <w:rsid w:val="7A127E1E"/>
    <w:rsid w:val="7E6C6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1727</Words>
  <Characters>1964</Characters>
  <Lines>57</Lines>
  <Paragraphs>16</Paragraphs>
  <TotalTime>10</TotalTime>
  <ScaleCrop>false</ScaleCrop>
  <LinksUpToDate>false</LinksUpToDate>
  <CharactersWithSpaces>2045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2024-10-21T08:43:54Z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3A9ED84269CE4E7B97D684863F7975F7_13</vt:lpwstr>
  </property>
</Properties>
</file>